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tblPr>
      <w:tblGrid>
        <w:gridCol w:w="3355"/>
        <w:gridCol w:w="6235"/>
      </w:tblGrid>
      <w:tr w:rsidR="007B5E01" w:rsidRPr="00B02447" w:rsidTr="008316CA">
        <w:trPr>
          <w:trHeight w:val="3240"/>
          <w:jc w:val="center"/>
        </w:trPr>
        <w:tc>
          <w:tcPr>
            <w:tcW w:w="3355" w:type="dxa"/>
            <w:tcBorders>
              <w:top w:val="nil"/>
              <w:left w:val="nil"/>
              <w:bottom w:val="nil"/>
              <w:right w:val="nil"/>
            </w:tcBorders>
            <w:shd w:val="clear" w:color="auto" w:fill="auto"/>
          </w:tcPr>
          <w:p w:rsidR="00F602FE" w:rsidRPr="008316CA" w:rsidRDefault="00AA0C40" w:rsidP="008316CA">
            <w:pPr>
              <w:pStyle w:val="Header"/>
              <w:spacing w:line="276" w:lineRule="auto"/>
              <w:rPr>
                <w:rFonts w:ascii="Arial" w:hAnsi="Arial" w:cs="Arial"/>
                <w:b/>
                <w:color w:val="404040"/>
                <w:sz w:val="46"/>
                <w:szCs w:val="46"/>
              </w:rPr>
            </w:pPr>
            <w:r>
              <w:rPr>
                <w:noProof/>
              </w:rPr>
              <w:drawing>
                <wp:inline distT="0" distB="0" distL="0" distR="0">
                  <wp:extent cx="1371600" cy="2057400"/>
                  <wp:effectExtent l="19050" t="0" r="0" b="0"/>
                  <wp:docPr id="1" name="Picture 1" descr="S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_LOGO"/>
                          <pic:cNvPicPr>
                            <a:picLocks noChangeAspect="1" noChangeArrowheads="1"/>
                          </pic:cNvPicPr>
                        </pic:nvPicPr>
                        <pic:blipFill>
                          <a:blip r:embed="rId6"/>
                          <a:srcRect/>
                          <a:stretch>
                            <a:fillRect/>
                          </a:stretch>
                        </pic:blipFill>
                        <pic:spPr bwMode="auto">
                          <a:xfrm>
                            <a:off x="0" y="0"/>
                            <a:ext cx="1371600" cy="2057400"/>
                          </a:xfrm>
                          <a:prstGeom prst="rect">
                            <a:avLst/>
                          </a:prstGeom>
                          <a:noFill/>
                          <a:ln w="9525">
                            <a:noFill/>
                            <a:miter lim="800000"/>
                            <a:headEnd/>
                            <a:tailEnd/>
                          </a:ln>
                        </pic:spPr>
                      </pic:pic>
                    </a:graphicData>
                  </a:graphic>
                </wp:inline>
              </w:drawing>
            </w:r>
          </w:p>
        </w:tc>
        <w:tc>
          <w:tcPr>
            <w:tcW w:w="6235" w:type="dxa"/>
            <w:tcBorders>
              <w:top w:val="nil"/>
              <w:left w:val="nil"/>
              <w:bottom w:val="nil"/>
              <w:right w:val="nil"/>
            </w:tcBorders>
            <w:shd w:val="clear" w:color="auto" w:fill="auto"/>
            <w:vAlign w:val="center"/>
          </w:tcPr>
          <w:p w:rsidR="00DB1421" w:rsidRPr="009D6D11" w:rsidRDefault="00DB1421" w:rsidP="00C33E50">
            <w:pPr>
              <w:pStyle w:val="Header"/>
              <w:spacing w:line="276" w:lineRule="auto"/>
              <w:jc w:val="right"/>
              <w:rPr>
                <w:rFonts w:ascii="Georgia" w:hAnsi="Georgia" w:cs="Arial"/>
                <w:b/>
                <w:color w:val="404040"/>
              </w:rPr>
            </w:pPr>
            <w:r w:rsidRPr="009D6D11">
              <w:rPr>
                <w:rFonts w:ascii="Georgia" w:hAnsi="Georgia" w:cs="Arial"/>
                <w:b/>
                <w:color w:val="404040"/>
                <w:sz w:val="28"/>
                <w:szCs w:val="28"/>
              </w:rPr>
              <w:t>S</w:t>
            </w:r>
            <w:r w:rsidRPr="009D6D11">
              <w:rPr>
                <w:rFonts w:ascii="Georgia" w:hAnsi="Georgia" w:cs="Arial"/>
                <w:b/>
                <w:color w:val="404040"/>
              </w:rPr>
              <w:t xml:space="preserve">ALT </w:t>
            </w:r>
            <w:r w:rsidRPr="009D6D11">
              <w:rPr>
                <w:rFonts w:ascii="Georgia" w:hAnsi="Georgia" w:cs="Arial"/>
                <w:b/>
                <w:color w:val="404040"/>
                <w:sz w:val="28"/>
                <w:szCs w:val="28"/>
              </w:rPr>
              <w:t>L</w:t>
            </w:r>
            <w:r w:rsidRPr="009D6D11">
              <w:rPr>
                <w:rFonts w:ascii="Georgia" w:hAnsi="Georgia" w:cs="Arial"/>
                <w:b/>
                <w:color w:val="404040"/>
              </w:rPr>
              <w:t xml:space="preserve">AKE </w:t>
            </w:r>
            <w:r w:rsidRPr="009D6D11">
              <w:rPr>
                <w:rFonts w:ascii="Georgia" w:hAnsi="Georgia" w:cs="Arial"/>
                <w:b/>
                <w:color w:val="404040"/>
                <w:sz w:val="28"/>
                <w:szCs w:val="28"/>
              </w:rPr>
              <w:t>C</w:t>
            </w:r>
            <w:r w:rsidRPr="009D6D11">
              <w:rPr>
                <w:rFonts w:ascii="Georgia" w:hAnsi="Georgia" w:cs="Arial"/>
                <w:b/>
                <w:color w:val="404040"/>
              </w:rPr>
              <w:t>ITY</w:t>
            </w:r>
          </w:p>
          <w:p w:rsidR="00F602FE" w:rsidRPr="0031382E" w:rsidRDefault="00930AF8" w:rsidP="001D1167">
            <w:pPr>
              <w:pStyle w:val="Header"/>
              <w:spacing w:line="276" w:lineRule="auto"/>
              <w:jc w:val="right"/>
              <w:rPr>
                <w:rFonts w:ascii="Georgia" w:hAnsi="Georgia" w:cs="Arial"/>
                <w:color w:val="404040"/>
                <w:sz w:val="18"/>
                <w:szCs w:val="18"/>
              </w:rPr>
            </w:pPr>
            <w:r w:rsidRPr="00930AF8">
              <w:rPr>
                <w:rFonts w:ascii="Arial" w:hAnsi="Arial" w:cs="Arial"/>
                <w:b/>
                <w:color w:val="404040"/>
                <w:sz w:val="48"/>
                <w:szCs w:val="48"/>
              </w:rPr>
              <w:t>N</w:t>
            </w:r>
            <w:r w:rsidRPr="00930AF8">
              <w:rPr>
                <w:rFonts w:ascii="Arial" w:hAnsi="Arial" w:cs="Arial"/>
                <w:b/>
                <w:color w:val="404040"/>
                <w:sz w:val="40"/>
                <w:szCs w:val="40"/>
              </w:rPr>
              <w:t xml:space="preserve">OTICE OF </w:t>
            </w:r>
            <w:r w:rsidRPr="00930AF8">
              <w:rPr>
                <w:rFonts w:ascii="Arial" w:hAnsi="Arial" w:cs="Arial"/>
                <w:b/>
                <w:color w:val="404040"/>
                <w:sz w:val="48"/>
                <w:szCs w:val="48"/>
              </w:rPr>
              <w:t>P</w:t>
            </w:r>
            <w:r w:rsidRPr="00930AF8">
              <w:rPr>
                <w:rFonts w:ascii="Arial" w:hAnsi="Arial" w:cs="Arial"/>
                <w:b/>
                <w:color w:val="404040"/>
                <w:sz w:val="40"/>
                <w:szCs w:val="40"/>
              </w:rPr>
              <w:t xml:space="preserve">UBLIC </w:t>
            </w:r>
            <w:r w:rsidRPr="00930AF8">
              <w:rPr>
                <w:rFonts w:ascii="Arial" w:hAnsi="Arial" w:cs="Arial"/>
                <w:b/>
                <w:color w:val="404040"/>
                <w:sz w:val="48"/>
                <w:szCs w:val="48"/>
              </w:rPr>
              <w:t>H</w:t>
            </w:r>
            <w:r w:rsidRPr="00930AF8">
              <w:rPr>
                <w:rFonts w:ascii="Arial" w:hAnsi="Arial" w:cs="Arial"/>
                <w:b/>
                <w:color w:val="404040"/>
                <w:sz w:val="40"/>
                <w:szCs w:val="40"/>
              </w:rPr>
              <w:t>EARING</w:t>
            </w:r>
            <w:r w:rsidR="00F602FE" w:rsidRPr="00B02447">
              <w:rPr>
                <w:rFonts w:ascii="Georgia" w:hAnsi="Georgia" w:cs="Arial"/>
                <w:color w:val="404040"/>
                <w:sz w:val="18"/>
                <w:szCs w:val="18"/>
              </w:rPr>
              <w:t xml:space="preserve"> </w:t>
            </w:r>
            <w:r w:rsidR="00F602FE">
              <w:rPr>
                <w:rFonts w:ascii="Georgia" w:hAnsi="Georgia" w:cs="Arial"/>
                <w:color w:val="404040"/>
                <w:sz w:val="18"/>
                <w:szCs w:val="18"/>
              </w:rPr>
              <w:br/>
            </w:r>
            <w:r w:rsidR="001D1167">
              <w:rPr>
                <w:rFonts w:ascii="Georgia" w:hAnsi="Georgia" w:cs="Arial"/>
                <w:color w:val="404040"/>
              </w:rPr>
              <w:t>March 15</w:t>
            </w:r>
            <w:r w:rsidR="00DB1421" w:rsidRPr="00DB1421">
              <w:rPr>
                <w:rFonts w:ascii="Georgia" w:hAnsi="Georgia" w:cs="Arial"/>
                <w:color w:val="404040"/>
              </w:rPr>
              <w:t>, 201</w:t>
            </w:r>
            <w:r w:rsidR="00711A9C">
              <w:rPr>
                <w:rFonts w:ascii="Georgia" w:hAnsi="Georgia" w:cs="Arial"/>
                <w:color w:val="404040"/>
              </w:rPr>
              <w:t>6</w:t>
            </w:r>
            <w:r w:rsidR="00C1435D">
              <w:rPr>
                <w:rFonts w:ascii="Georgia" w:hAnsi="Georgia" w:cs="Arial"/>
                <w:color w:val="404040"/>
              </w:rPr>
              <w:t xml:space="preserve"> at 7:</w:t>
            </w:r>
            <w:r w:rsidR="00711A9C">
              <w:rPr>
                <w:rFonts w:ascii="Georgia" w:hAnsi="Georgia" w:cs="Arial"/>
                <w:color w:val="404040"/>
              </w:rPr>
              <w:t>0</w:t>
            </w:r>
            <w:r w:rsidR="006F6AAC">
              <w:rPr>
                <w:rFonts w:ascii="Georgia" w:hAnsi="Georgia" w:cs="Arial"/>
                <w:color w:val="404040"/>
              </w:rPr>
              <w:t>0 p.m.</w:t>
            </w:r>
          </w:p>
        </w:tc>
      </w:tr>
    </w:tbl>
    <w:p w:rsidR="008316CA" w:rsidRDefault="008316CA" w:rsidP="0017391A">
      <w:pPr>
        <w:tabs>
          <w:tab w:val="left" w:pos="907"/>
          <w:tab w:val="left" w:pos="2340"/>
        </w:tabs>
        <w:spacing w:line="276" w:lineRule="auto"/>
        <w:rPr>
          <w:rFonts w:ascii="Georgia" w:hAnsi="Georgia" w:cs="Arial"/>
          <w:b/>
          <w:color w:val="404040"/>
          <w:sz w:val="20"/>
          <w:szCs w:val="20"/>
        </w:rPr>
      </w:pPr>
    </w:p>
    <w:p w:rsidR="007D5261" w:rsidRPr="007D5261" w:rsidRDefault="007D5261" w:rsidP="0017391A">
      <w:pPr>
        <w:tabs>
          <w:tab w:val="left" w:pos="907"/>
          <w:tab w:val="left" w:pos="2340"/>
        </w:tabs>
        <w:spacing w:line="276" w:lineRule="auto"/>
        <w:rPr>
          <w:rFonts w:ascii="Georgia" w:hAnsi="Georgia" w:cs="Arial"/>
          <w:b/>
          <w:color w:val="404040"/>
          <w:sz w:val="22"/>
          <w:szCs w:val="22"/>
        </w:rPr>
      </w:pPr>
    </w:p>
    <w:p w:rsidR="00174D89" w:rsidRPr="000023E4" w:rsidRDefault="00174D89" w:rsidP="006F6AAC">
      <w:pPr>
        <w:tabs>
          <w:tab w:val="left" w:pos="907"/>
          <w:tab w:val="left" w:pos="2340"/>
        </w:tabs>
        <w:spacing w:line="276" w:lineRule="auto"/>
        <w:rPr>
          <w:rFonts w:ascii="Georgia" w:hAnsi="Georgia" w:cs="Arial"/>
          <w:color w:val="404040"/>
          <w:sz w:val="20"/>
          <w:szCs w:val="20"/>
        </w:rPr>
      </w:pPr>
    </w:p>
    <w:p w:rsidR="007C5B03" w:rsidRDefault="005530FA" w:rsidP="00ED2A0F">
      <w:pPr>
        <w:tabs>
          <w:tab w:val="left" w:pos="1656"/>
          <w:tab w:val="left" w:pos="2160"/>
          <w:tab w:val="left" w:pos="8280"/>
        </w:tabs>
        <w:spacing w:line="276" w:lineRule="auto"/>
        <w:rPr>
          <w:rFonts w:ascii="Georgia" w:hAnsi="Georgia" w:cstheme="minorHAnsi"/>
          <w:color w:val="404040"/>
          <w:sz w:val="20"/>
          <w:szCs w:val="20"/>
        </w:rPr>
      </w:pPr>
      <w:r w:rsidRPr="00A80EEE">
        <w:rPr>
          <w:rFonts w:ascii="Georgia" w:hAnsi="Georgia" w:cs="Arial"/>
          <w:color w:val="404040"/>
          <w:sz w:val="20"/>
          <w:szCs w:val="20"/>
        </w:rPr>
        <w:t>NOTICE IS HEREBY</w:t>
      </w:r>
      <w:r w:rsidR="00AD0C21">
        <w:rPr>
          <w:rFonts w:ascii="Georgia" w:hAnsi="Georgia" w:cs="Arial"/>
          <w:color w:val="404040"/>
          <w:sz w:val="20"/>
          <w:szCs w:val="20"/>
        </w:rPr>
        <w:t xml:space="preserve"> GIVENT THAT ON Tuesday, March 15</w:t>
      </w:r>
      <w:r w:rsidRPr="00A80EEE">
        <w:rPr>
          <w:rFonts w:ascii="Georgia" w:hAnsi="Georgia" w:cs="Arial"/>
          <w:color w:val="404040"/>
          <w:sz w:val="20"/>
          <w:szCs w:val="20"/>
        </w:rPr>
        <w:t>, 201</w:t>
      </w:r>
      <w:r w:rsidR="00711A9C">
        <w:rPr>
          <w:rFonts w:ascii="Georgia" w:hAnsi="Georgia" w:cs="Arial"/>
          <w:color w:val="404040"/>
          <w:sz w:val="20"/>
          <w:szCs w:val="20"/>
        </w:rPr>
        <w:t>6</w:t>
      </w:r>
      <w:r w:rsidRPr="00A80EEE">
        <w:rPr>
          <w:rFonts w:ascii="Georgia" w:hAnsi="Georgia" w:cs="Arial"/>
          <w:color w:val="404040"/>
          <w:sz w:val="20"/>
          <w:szCs w:val="20"/>
        </w:rPr>
        <w:t xml:space="preserve"> at </w:t>
      </w:r>
      <w:r w:rsidR="00711A9C">
        <w:rPr>
          <w:rFonts w:ascii="Georgia" w:hAnsi="Georgia" w:cs="Arial"/>
          <w:color w:val="404040"/>
          <w:sz w:val="20"/>
          <w:szCs w:val="20"/>
        </w:rPr>
        <w:t>7:0</w:t>
      </w:r>
      <w:r w:rsidR="00CE6252" w:rsidRPr="00A80EEE">
        <w:rPr>
          <w:rFonts w:ascii="Georgia" w:hAnsi="Georgia" w:cs="Arial"/>
          <w:color w:val="404040"/>
          <w:sz w:val="20"/>
          <w:szCs w:val="20"/>
        </w:rPr>
        <w:t xml:space="preserve">0 p.m. </w:t>
      </w:r>
      <w:r w:rsidRPr="00A80EEE">
        <w:rPr>
          <w:rFonts w:ascii="Georgia" w:hAnsi="Georgia" w:cs="Arial"/>
          <w:color w:val="404040"/>
          <w:sz w:val="20"/>
          <w:szCs w:val="20"/>
        </w:rPr>
        <w:t>a public hearing will be hel</w:t>
      </w:r>
      <w:r w:rsidR="006F6AAC">
        <w:rPr>
          <w:rFonts w:ascii="Georgia" w:hAnsi="Georgia" w:cs="Arial"/>
          <w:color w:val="404040"/>
          <w:sz w:val="20"/>
          <w:szCs w:val="20"/>
        </w:rPr>
        <w:t>d in Room 315, Council Chambers</w:t>
      </w:r>
      <w:r w:rsidRPr="00A80EEE">
        <w:rPr>
          <w:rFonts w:ascii="Georgia" w:hAnsi="Georgia" w:cs="Arial"/>
          <w:color w:val="404040"/>
          <w:sz w:val="20"/>
          <w:szCs w:val="20"/>
        </w:rPr>
        <w:t>, City County Building, 451 South State, Salt Lake City, Utah</w:t>
      </w:r>
      <w:r w:rsidR="00A80EEE" w:rsidRPr="00A80EEE">
        <w:rPr>
          <w:rFonts w:ascii="Georgia" w:hAnsi="Georgia" w:cs="Arial"/>
          <w:color w:val="404040"/>
          <w:sz w:val="20"/>
          <w:szCs w:val="20"/>
        </w:rPr>
        <w:t xml:space="preserve">, before the Salt Lake City Council to accept public comment </w:t>
      </w:r>
      <w:r w:rsidR="00A80EEE">
        <w:rPr>
          <w:rFonts w:ascii="Georgia" w:hAnsi="Georgia" w:cs="Arial"/>
          <w:color w:val="404040"/>
          <w:sz w:val="20"/>
          <w:szCs w:val="20"/>
        </w:rPr>
        <w:t xml:space="preserve">on </w:t>
      </w:r>
      <w:r w:rsidR="00EE6BB7" w:rsidRPr="00A80EEE">
        <w:rPr>
          <w:rFonts w:ascii="Georgia" w:hAnsi="Georgia" w:cs="Arial"/>
          <w:color w:val="404040"/>
          <w:sz w:val="20"/>
          <w:szCs w:val="20"/>
        </w:rPr>
        <w:t xml:space="preserve">proposed </w:t>
      </w:r>
      <w:r w:rsidR="00CE6252" w:rsidRPr="00A80EEE">
        <w:rPr>
          <w:rFonts w:ascii="Georgia" w:hAnsi="Georgia" w:cs="Arial"/>
          <w:color w:val="404040"/>
          <w:sz w:val="20"/>
          <w:szCs w:val="20"/>
        </w:rPr>
        <w:t xml:space="preserve">projects and activities to be </w:t>
      </w:r>
      <w:r w:rsidR="007A328C" w:rsidRPr="00A80EEE">
        <w:rPr>
          <w:rFonts w:ascii="Georgia" w:hAnsi="Georgia" w:cs="Arial"/>
          <w:color w:val="404040"/>
          <w:sz w:val="20"/>
          <w:szCs w:val="20"/>
        </w:rPr>
        <w:t xml:space="preserve">undertaken </w:t>
      </w:r>
      <w:r w:rsidR="00CE6252" w:rsidRPr="00A80EEE">
        <w:rPr>
          <w:rFonts w:ascii="Georgia" w:hAnsi="Georgia" w:cs="Arial"/>
          <w:color w:val="404040"/>
          <w:sz w:val="20"/>
          <w:szCs w:val="20"/>
        </w:rPr>
        <w:t>with 201</w:t>
      </w:r>
      <w:r w:rsidR="00711A9C">
        <w:rPr>
          <w:rFonts w:ascii="Georgia" w:hAnsi="Georgia" w:cs="Arial"/>
          <w:color w:val="404040"/>
          <w:sz w:val="20"/>
          <w:szCs w:val="20"/>
        </w:rPr>
        <w:t>6-17</w:t>
      </w:r>
      <w:r w:rsidR="00CE6252" w:rsidRPr="00A80EEE">
        <w:rPr>
          <w:rFonts w:ascii="Georgia" w:hAnsi="Georgia" w:cs="Arial"/>
          <w:color w:val="404040"/>
          <w:sz w:val="20"/>
          <w:szCs w:val="20"/>
        </w:rPr>
        <w:t xml:space="preserve"> federal fun</w:t>
      </w:r>
      <w:r w:rsidR="007A328C" w:rsidRPr="00A80EEE">
        <w:rPr>
          <w:rFonts w:ascii="Georgia" w:hAnsi="Georgia" w:cs="Arial"/>
          <w:color w:val="404040"/>
          <w:sz w:val="20"/>
          <w:szCs w:val="20"/>
        </w:rPr>
        <w:t xml:space="preserve">ds </w:t>
      </w:r>
      <w:r w:rsidR="00A75358" w:rsidRPr="00A80EEE">
        <w:rPr>
          <w:rFonts w:ascii="Georgia" w:hAnsi="Georgia" w:cs="Arial"/>
          <w:color w:val="404040"/>
          <w:sz w:val="20"/>
          <w:szCs w:val="20"/>
        </w:rPr>
        <w:t xml:space="preserve">under </w:t>
      </w:r>
      <w:r w:rsidR="00A75358" w:rsidRPr="00444736">
        <w:rPr>
          <w:rFonts w:ascii="Georgia" w:hAnsi="Georgia" w:cstheme="minorHAnsi"/>
          <w:color w:val="404040"/>
          <w:sz w:val="20"/>
          <w:szCs w:val="20"/>
        </w:rPr>
        <w:t>the following U.S. Department of Housing and Urban Development (HUD) programs:</w:t>
      </w:r>
    </w:p>
    <w:p w:rsidR="00A75358" w:rsidRPr="00A75358" w:rsidRDefault="00A75358" w:rsidP="00ED2A0F">
      <w:pPr>
        <w:tabs>
          <w:tab w:val="left" w:pos="1656"/>
          <w:tab w:val="left" w:pos="2160"/>
          <w:tab w:val="left" w:pos="8280"/>
        </w:tabs>
        <w:spacing w:line="276" w:lineRule="auto"/>
        <w:rPr>
          <w:rFonts w:ascii="Georgia" w:hAnsi="Georgia" w:cstheme="minorHAnsi"/>
          <w:color w:val="404040"/>
          <w:sz w:val="10"/>
          <w:szCs w:val="10"/>
        </w:rPr>
      </w:pPr>
    </w:p>
    <w:p w:rsidR="00A75358" w:rsidRPr="008A1C9F" w:rsidRDefault="00A75358" w:rsidP="00C1435D">
      <w:pPr>
        <w:pStyle w:val="ListParagraph"/>
        <w:numPr>
          <w:ilvl w:val="0"/>
          <w:numId w:val="1"/>
        </w:numPr>
        <w:spacing w:line="276" w:lineRule="auto"/>
        <w:ind w:left="900"/>
        <w:rPr>
          <w:rFonts w:ascii="Georgia" w:hAnsi="Georgia" w:cstheme="minorHAnsi"/>
          <w:b/>
          <w:color w:val="404040"/>
          <w:sz w:val="20"/>
        </w:rPr>
      </w:pPr>
      <w:r w:rsidRPr="008A1C9F">
        <w:rPr>
          <w:rFonts w:ascii="Georgia" w:hAnsi="Georgia" w:cstheme="minorHAnsi"/>
          <w:b/>
          <w:color w:val="404040"/>
          <w:sz w:val="20"/>
        </w:rPr>
        <w:t>Community Development Block Grant (CDBG)</w:t>
      </w:r>
    </w:p>
    <w:p w:rsidR="00A75358" w:rsidRPr="00444736" w:rsidRDefault="00A75358" w:rsidP="00C1435D">
      <w:pPr>
        <w:pStyle w:val="ListParagraph"/>
        <w:spacing w:line="276" w:lineRule="auto"/>
        <w:ind w:left="1170"/>
        <w:rPr>
          <w:rFonts w:ascii="Georgia" w:hAnsi="Georgia" w:cstheme="minorHAnsi"/>
          <w:color w:val="404040"/>
          <w:sz w:val="20"/>
        </w:rPr>
      </w:pPr>
      <w:r>
        <w:rPr>
          <w:rFonts w:ascii="Georgia" w:hAnsi="Georgia" w:cstheme="minorHAnsi"/>
          <w:color w:val="404040"/>
          <w:sz w:val="20"/>
        </w:rPr>
        <w:t>CDBG funds may be used for the development of viable urban communities by providing decent housing and suitable living environments for persons of low and moderate-income.</w:t>
      </w:r>
    </w:p>
    <w:p w:rsidR="00A75358" w:rsidRPr="008A1C9F" w:rsidRDefault="00A75358" w:rsidP="00C1435D">
      <w:pPr>
        <w:pStyle w:val="ListParagraph"/>
        <w:numPr>
          <w:ilvl w:val="0"/>
          <w:numId w:val="1"/>
        </w:numPr>
        <w:spacing w:line="276" w:lineRule="auto"/>
        <w:ind w:left="900"/>
        <w:rPr>
          <w:rFonts w:ascii="Georgia" w:hAnsi="Georgia" w:cstheme="minorHAnsi"/>
          <w:b/>
          <w:color w:val="404040"/>
          <w:sz w:val="20"/>
        </w:rPr>
      </w:pPr>
      <w:r w:rsidRPr="008A1C9F">
        <w:rPr>
          <w:rFonts w:ascii="Georgia" w:hAnsi="Georgia" w:cstheme="minorHAnsi"/>
          <w:b/>
          <w:color w:val="404040"/>
          <w:sz w:val="20"/>
        </w:rPr>
        <w:t>Emergency Solutions Grant (ESG)</w:t>
      </w:r>
    </w:p>
    <w:p w:rsidR="00A75358" w:rsidRPr="00444736" w:rsidRDefault="00A75358" w:rsidP="00C1435D">
      <w:pPr>
        <w:pStyle w:val="ListParagraph"/>
        <w:spacing w:line="276" w:lineRule="auto"/>
        <w:ind w:left="1170"/>
        <w:rPr>
          <w:rFonts w:ascii="Georgia" w:hAnsi="Georgia" w:cstheme="minorHAnsi"/>
          <w:color w:val="404040"/>
          <w:sz w:val="20"/>
        </w:rPr>
      </w:pPr>
      <w:r>
        <w:rPr>
          <w:rFonts w:ascii="Georgia" w:hAnsi="Georgia" w:cstheme="minorHAnsi"/>
          <w:color w:val="404040"/>
          <w:sz w:val="20"/>
        </w:rPr>
        <w:t>ESG funds may be used to assist individuals and families regain housing stability after experiencing a housing or homelessness crisis.</w:t>
      </w:r>
    </w:p>
    <w:p w:rsidR="00A75358" w:rsidRPr="008A1C9F" w:rsidRDefault="00A75358" w:rsidP="00C1435D">
      <w:pPr>
        <w:pStyle w:val="ListParagraph"/>
        <w:numPr>
          <w:ilvl w:val="0"/>
          <w:numId w:val="1"/>
        </w:numPr>
        <w:spacing w:line="276" w:lineRule="auto"/>
        <w:ind w:left="900"/>
        <w:rPr>
          <w:rFonts w:ascii="Georgia" w:hAnsi="Georgia" w:cstheme="minorHAnsi"/>
          <w:b/>
          <w:color w:val="404040"/>
          <w:sz w:val="20"/>
        </w:rPr>
      </w:pPr>
      <w:r w:rsidRPr="008A1C9F">
        <w:rPr>
          <w:rFonts w:ascii="Georgia" w:hAnsi="Georgia" w:cstheme="minorHAnsi"/>
          <w:b/>
          <w:color w:val="404040"/>
          <w:sz w:val="20"/>
        </w:rPr>
        <w:t>HOME Investment Partnership Program (HOME)</w:t>
      </w:r>
    </w:p>
    <w:p w:rsidR="00A75358" w:rsidRPr="00444736" w:rsidRDefault="00A75358" w:rsidP="00C1435D">
      <w:pPr>
        <w:pStyle w:val="ListParagraph"/>
        <w:spacing w:line="276" w:lineRule="auto"/>
        <w:ind w:left="1170"/>
        <w:rPr>
          <w:rFonts w:ascii="Georgia" w:hAnsi="Georgia" w:cstheme="minorHAnsi"/>
          <w:color w:val="404040"/>
          <w:sz w:val="20"/>
        </w:rPr>
      </w:pPr>
      <w:r>
        <w:rPr>
          <w:rFonts w:ascii="Georgia" w:hAnsi="Georgia" w:cstheme="minorHAnsi"/>
          <w:color w:val="404040"/>
          <w:sz w:val="20"/>
        </w:rPr>
        <w:t>HOME funds may be used to create affordable housing opportunities for low-income households.</w:t>
      </w:r>
    </w:p>
    <w:p w:rsidR="00A75358" w:rsidRPr="002A3CAF" w:rsidRDefault="00A75358" w:rsidP="00C1435D">
      <w:pPr>
        <w:pStyle w:val="ListParagraph"/>
        <w:numPr>
          <w:ilvl w:val="0"/>
          <w:numId w:val="1"/>
        </w:numPr>
        <w:spacing w:line="276" w:lineRule="auto"/>
        <w:ind w:left="900"/>
        <w:rPr>
          <w:rFonts w:ascii="Georgia" w:hAnsi="Georgia" w:cstheme="minorHAnsi"/>
          <w:b/>
          <w:color w:val="404040"/>
          <w:sz w:val="20"/>
        </w:rPr>
      </w:pPr>
      <w:r w:rsidRPr="002A3CAF">
        <w:rPr>
          <w:rFonts w:ascii="Georgia" w:hAnsi="Georgia" w:cstheme="minorHAnsi"/>
          <w:b/>
          <w:color w:val="404040"/>
          <w:sz w:val="20"/>
        </w:rPr>
        <w:t>Housing Opportunities for Persons with AIDS (HOPWA)</w:t>
      </w:r>
    </w:p>
    <w:p w:rsidR="00A75358" w:rsidRPr="00A75358" w:rsidRDefault="00A75358" w:rsidP="00C1435D">
      <w:pPr>
        <w:pStyle w:val="ListParagraph"/>
        <w:spacing w:line="276" w:lineRule="auto"/>
        <w:ind w:left="1170"/>
        <w:rPr>
          <w:rFonts w:ascii="Georgia" w:hAnsi="Georgia" w:cstheme="minorHAnsi"/>
          <w:color w:val="404040"/>
          <w:sz w:val="20"/>
        </w:rPr>
      </w:pPr>
      <w:r>
        <w:rPr>
          <w:rFonts w:ascii="Georgia" w:hAnsi="Georgia" w:cstheme="minorHAnsi"/>
          <w:color w:val="404040"/>
          <w:sz w:val="20"/>
        </w:rPr>
        <w:t>HOPWA funds may be used to provide housing assistance and related supportive services to persons living with HIV/AIDS and their families.</w:t>
      </w:r>
    </w:p>
    <w:p w:rsidR="00C33E50" w:rsidRPr="005530FA" w:rsidRDefault="00C33E50" w:rsidP="00ED2A0F">
      <w:pPr>
        <w:pStyle w:val="ListParagraph"/>
        <w:spacing w:line="276" w:lineRule="auto"/>
        <w:ind w:left="0"/>
        <w:rPr>
          <w:rFonts w:ascii="Georgia" w:hAnsi="Georgia" w:cstheme="minorHAnsi"/>
          <w:color w:val="404040"/>
          <w:sz w:val="20"/>
        </w:rPr>
      </w:pPr>
    </w:p>
    <w:p w:rsidR="009F59BD" w:rsidRPr="009F59BD" w:rsidRDefault="009F59BD" w:rsidP="009F59BD">
      <w:pPr>
        <w:tabs>
          <w:tab w:val="left" w:pos="907"/>
          <w:tab w:val="left" w:pos="2340"/>
        </w:tabs>
        <w:spacing w:line="276" w:lineRule="auto"/>
        <w:rPr>
          <w:rFonts w:ascii="Georgia" w:hAnsi="Georgia" w:cs="Arial"/>
          <w:color w:val="404040"/>
          <w:sz w:val="20"/>
        </w:rPr>
      </w:pPr>
      <w:r w:rsidRPr="009F59BD">
        <w:rPr>
          <w:rFonts w:ascii="Georgia" w:hAnsi="Georgia" w:cs="Arial"/>
          <w:color w:val="404040"/>
          <w:sz w:val="20"/>
        </w:rPr>
        <w:t>Prior to making</w:t>
      </w:r>
      <w:r w:rsidR="00446C3E">
        <w:rPr>
          <w:rFonts w:ascii="Georgia" w:hAnsi="Georgia" w:cs="Arial"/>
          <w:color w:val="404040"/>
          <w:sz w:val="20"/>
        </w:rPr>
        <w:t xml:space="preserve"> funding decisions on the 2016-</w:t>
      </w:r>
      <w:r w:rsidRPr="009F59BD">
        <w:rPr>
          <w:rFonts w:ascii="Georgia" w:hAnsi="Georgia" w:cs="Arial"/>
          <w:color w:val="404040"/>
          <w:sz w:val="20"/>
        </w:rPr>
        <w:t xml:space="preserve">17 program year, the Salt Lake City Council will consider and review all comments received at the public hearing, as well as funding recommendations provided by Mayor Biskupski and citizen advisory boards. Information about funding recommendations can be found on Salt Lake City’s HAND website at </w:t>
      </w:r>
      <w:hyperlink r:id="rId7" w:history="1">
        <w:r w:rsidRPr="00035DAA">
          <w:rPr>
            <w:rStyle w:val="Hyperlink"/>
            <w:rFonts w:cs="Arial"/>
          </w:rPr>
          <w:t>www.slcgov.com/HAN</w:t>
        </w:r>
        <w:r w:rsidRPr="00035DAA">
          <w:rPr>
            <w:rStyle w:val="Hyperlink"/>
            <w:rFonts w:ascii="Georgia" w:hAnsi="Georgia" w:cs="Arial"/>
            <w:sz w:val="20"/>
          </w:rPr>
          <w:t>D</w:t>
        </w:r>
      </w:hyperlink>
      <w:r w:rsidRPr="009F59BD">
        <w:rPr>
          <w:rFonts w:ascii="Georgia" w:hAnsi="Georgia" w:cs="Arial"/>
          <w:color w:val="404040"/>
          <w:sz w:val="20"/>
        </w:rPr>
        <w:t>.</w:t>
      </w:r>
    </w:p>
    <w:p w:rsidR="009F59BD" w:rsidRPr="009F59BD" w:rsidRDefault="009F59BD" w:rsidP="009F59BD">
      <w:pPr>
        <w:tabs>
          <w:tab w:val="left" w:pos="907"/>
          <w:tab w:val="left" w:pos="2340"/>
        </w:tabs>
        <w:spacing w:line="276" w:lineRule="auto"/>
        <w:rPr>
          <w:rFonts w:ascii="Georgia" w:hAnsi="Georgia" w:cs="Arial"/>
          <w:color w:val="404040"/>
          <w:sz w:val="20"/>
        </w:rPr>
      </w:pPr>
    </w:p>
    <w:p w:rsidR="009F59BD" w:rsidRPr="009F59BD" w:rsidRDefault="009F59BD" w:rsidP="009F59BD">
      <w:pPr>
        <w:tabs>
          <w:tab w:val="left" w:pos="907"/>
          <w:tab w:val="left" w:pos="2340"/>
        </w:tabs>
        <w:spacing w:line="276" w:lineRule="auto"/>
        <w:rPr>
          <w:rFonts w:ascii="Georgia" w:hAnsi="Georgia" w:cs="Arial"/>
          <w:color w:val="404040"/>
          <w:sz w:val="20"/>
        </w:rPr>
      </w:pPr>
      <w:r w:rsidRPr="009F59BD">
        <w:rPr>
          <w:rFonts w:ascii="Georgia" w:hAnsi="Georgia" w:cs="Arial"/>
          <w:color w:val="404040"/>
          <w:sz w:val="20"/>
        </w:rPr>
        <w:t xml:space="preserve">If you are unable to attend the hearing and want your voice to be heard, written comments may be submitted to </w:t>
      </w:r>
      <w:hyperlink r:id="rId8" w:history="1">
        <w:r w:rsidRPr="00035DAA">
          <w:rPr>
            <w:rStyle w:val="Hyperlink"/>
            <w:rFonts w:cs="Arial"/>
          </w:rPr>
          <w:t>Jennifer.Schumann@slcgov.co</w:t>
        </w:r>
        <w:r w:rsidRPr="00035DAA">
          <w:rPr>
            <w:rStyle w:val="Hyperlink"/>
            <w:rFonts w:ascii="Georgia" w:hAnsi="Georgia" w:cs="Arial"/>
            <w:sz w:val="20"/>
          </w:rPr>
          <w:t>m</w:t>
        </w:r>
      </w:hyperlink>
      <w:r w:rsidRPr="009F59BD">
        <w:rPr>
          <w:rFonts w:ascii="Georgia" w:hAnsi="Georgia" w:cs="Arial"/>
          <w:color w:val="404040"/>
          <w:sz w:val="20"/>
        </w:rPr>
        <w:t xml:space="preserve">. Comments will also be accepted by the Salt Lake City Council office at 451 South State Street, Room 304, PO Box 145476, Salt Lake City, Utah 84111, or emailed to </w:t>
      </w:r>
      <w:hyperlink r:id="rId9" w:history="1">
        <w:r w:rsidRPr="00035DAA">
          <w:rPr>
            <w:rStyle w:val="Hyperlink"/>
            <w:rFonts w:cs="Arial"/>
          </w:rPr>
          <w:t>council.comments@slcgov.co</w:t>
        </w:r>
        <w:r w:rsidRPr="00035DAA">
          <w:rPr>
            <w:rStyle w:val="Hyperlink"/>
            <w:rFonts w:ascii="Georgia" w:hAnsi="Georgia" w:cs="Arial"/>
            <w:sz w:val="20"/>
          </w:rPr>
          <w:t>m</w:t>
        </w:r>
      </w:hyperlink>
      <w:r w:rsidRPr="009F59BD">
        <w:rPr>
          <w:rFonts w:ascii="Georgia" w:hAnsi="Georgia" w:cs="Arial"/>
          <w:color w:val="404040"/>
          <w:sz w:val="20"/>
        </w:rPr>
        <w:t xml:space="preserve">. </w:t>
      </w:r>
      <w:r w:rsidR="00446C3E">
        <w:rPr>
          <w:rFonts w:ascii="Georgia" w:hAnsi="Georgia" w:cs="Arial"/>
          <w:color w:val="404040"/>
          <w:sz w:val="20"/>
        </w:rPr>
        <w:t xml:space="preserve">Additionally, messages may </w:t>
      </w:r>
      <w:r w:rsidRPr="009F59BD">
        <w:rPr>
          <w:rFonts w:ascii="Georgia" w:hAnsi="Georgia" w:cs="Arial"/>
          <w:color w:val="404040"/>
          <w:sz w:val="20"/>
        </w:rPr>
        <w:t xml:space="preserve">be left on the Council comment telephone number; 801-535-7654. Comments must be submitted by April 1, 2016. </w:t>
      </w:r>
    </w:p>
    <w:p w:rsidR="00034220" w:rsidRDefault="00034220" w:rsidP="00ED2A0F">
      <w:pPr>
        <w:tabs>
          <w:tab w:val="left" w:pos="1656"/>
          <w:tab w:val="left" w:pos="8280"/>
        </w:tabs>
        <w:spacing w:line="276" w:lineRule="auto"/>
        <w:rPr>
          <w:rFonts w:ascii="Georgia" w:hAnsi="Georgia" w:cs="Arial"/>
          <w:b/>
          <w:sz w:val="20"/>
        </w:rPr>
      </w:pPr>
    </w:p>
    <w:p w:rsidR="00034220" w:rsidRPr="00034220" w:rsidRDefault="00034220" w:rsidP="00ED2A0F">
      <w:pPr>
        <w:tabs>
          <w:tab w:val="left" w:pos="1656"/>
          <w:tab w:val="left" w:pos="8280"/>
        </w:tabs>
        <w:spacing w:line="276" w:lineRule="auto"/>
        <w:rPr>
          <w:rFonts w:ascii="Georgia" w:hAnsi="Georgia" w:cs="Arial"/>
          <w:b/>
          <w:color w:val="404040"/>
          <w:sz w:val="20"/>
        </w:rPr>
      </w:pPr>
      <w:r w:rsidRPr="00034220">
        <w:rPr>
          <w:rFonts w:ascii="Georgia" w:hAnsi="Georgia" w:cs="Arial"/>
          <w:b/>
          <w:color w:val="404040"/>
          <w:sz w:val="20"/>
        </w:rPr>
        <w:t>EQUAL OPPORTUNITY PROGRAM</w:t>
      </w:r>
    </w:p>
    <w:p w:rsidR="00174D89" w:rsidRDefault="00034220" w:rsidP="00ED2A0F">
      <w:pPr>
        <w:tabs>
          <w:tab w:val="left" w:pos="1656"/>
          <w:tab w:val="left" w:pos="8280"/>
        </w:tabs>
        <w:spacing w:line="276" w:lineRule="auto"/>
        <w:rPr>
          <w:rFonts w:ascii="Georgia" w:hAnsi="Georgia" w:cs="Arial"/>
          <w:color w:val="404040"/>
          <w:sz w:val="20"/>
        </w:rPr>
      </w:pPr>
      <w:r w:rsidRPr="00034220">
        <w:rPr>
          <w:rFonts w:ascii="Georgia" w:hAnsi="Georgia" w:cs="Arial"/>
          <w:color w:val="404040"/>
          <w:sz w:val="20"/>
        </w:rPr>
        <w:t>Reasonable accommodations for individuals with disabilities or those in need of language interpretation services can be provided if four working days’ notice is given by calling 801-535-7777.</w:t>
      </w:r>
      <w:r w:rsidRPr="00034220">
        <w:rPr>
          <w:rFonts w:ascii="Georgia" w:hAnsi="Georgia"/>
          <w:color w:val="404040"/>
          <w:sz w:val="20"/>
        </w:rPr>
        <w:t xml:space="preserve"> </w:t>
      </w:r>
      <w:r w:rsidRPr="00034220">
        <w:rPr>
          <w:rFonts w:ascii="Georgia" w:hAnsi="Georgia" w:cs="Arial"/>
          <w:color w:val="404040"/>
          <w:sz w:val="20"/>
        </w:rPr>
        <w:t xml:space="preserve"> Hearing impaired who wish to attend this meeting should contact our TDD service number, 801-535</w:t>
      </w:r>
      <w:r w:rsidRPr="00034220">
        <w:rPr>
          <w:rFonts w:ascii="Georgia" w:hAnsi="Georgia" w:cs="Arial"/>
          <w:color w:val="404040"/>
          <w:sz w:val="20"/>
        </w:rPr>
        <w:noBreakHyphen/>
        <w:t>6021,four days in advance so an interpreter can be provided. Physical access entrance and parking are located on the east side of the building.</w:t>
      </w:r>
    </w:p>
    <w:p w:rsidR="00806ABA" w:rsidRDefault="00806ABA" w:rsidP="00034220">
      <w:pPr>
        <w:tabs>
          <w:tab w:val="left" w:pos="1656"/>
          <w:tab w:val="left" w:pos="8280"/>
        </w:tabs>
        <w:rPr>
          <w:rFonts w:ascii="Georgia" w:hAnsi="Georgia" w:cs="Arial"/>
          <w:color w:val="404040"/>
          <w:sz w:val="20"/>
        </w:rPr>
      </w:pPr>
    </w:p>
    <w:p w:rsidR="00806ABA" w:rsidRDefault="00806ABA" w:rsidP="00034220">
      <w:pPr>
        <w:tabs>
          <w:tab w:val="left" w:pos="1656"/>
          <w:tab w:val="left" w:pos="8280"/>
        </w:tabs>
        <w:rPr>
          <w:rFonts w:ascii="Georgia" w:hAnsi="Georgia" w:cs="Arial"/>
          <w:color w:val="404040"/>
          <w:sz w:val="20"/>
        </w:rPr>
      </w:pPr>
    </w:p>
    <w:p w:rsidR="00F0309B" w:rsidRDefault="00F0309B" w:rsidP="00034220">
      <w:pPr>
        <w:tabs>
          <w:tab w:val="left" w:pos="1656"/>
          <w:tab w:val="left" w:pos="8280"/>
        </w:tabs>
        <w:rPr>
          <w:rFonts w:ascii="Georgia" w:hAnsi="Georgia" w:cs="Arial"/>
          <w:color w:val="404040"/>
          <w:sz w:val="20"/>
        </w:rPr>
      </w:pPr>
    </w:p>
    <w:p w:rsidR="00E96668" w:rsidRDefault="00E96668" w:rsidP="00ED2A0F"/>
    <w:sectPr w:rsidR="00E96668" w:rsidSect="00174D89">
      <w:pgSz w:w="12240" w:h="15840"/>
      <w:pgMar w:top="144"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5634"/>
    <w:multiLevelType w:val="hybridMultilevel"/>
    <w:tmpl w:val="83A60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F415C1"/>
    <w:rsid w:val="000023E4"/>
    <w:rsid w:val="00034220"/>
    <w:rsid w:val="000435DD"/>
    <w:rsid w:val="00057F78"/>
    <w:rsid w:val="0007546D"/>
    <w:rsid w:val="00097EF7"/>
    <w:rsid w:val="000A7DA7"/>
    <w:rsid w:val="001406BF"/>
    <w:rsid w:val="0017391A"/>
    <w:rsid w:val="00174D89"/>
    <w:rsid w:val="001D1167"/>
    <w:rsid w:val="001E22C3"/>
    <w:rsid w:val="001E5149"/>
    <w:rsid w:val="001E6518"/>
    <w:rsid w:val="00225FD9"/>
    <w:rsid w:val="002329F8"/>
    <w:rsid w:val="0023683E"/>
    <w:rsid w:val="002820DB"/>
    <w:rsid w:val="0028241C"/>
    <w:rsid w:val="002D35C6"/>
    <w:rsid w:val="002E3206"/>
    <w:rsid w:val="002F0CD3"/>
    <w:rsid w:val="0031382E"/>
    <w:rsid w:val="00387F3A"/>
    <w:rsid w:val="0039310C"/>
    <w:rsid w:val="003A3FC8"/>
    <w:rsid w:val="003A6ACF"/>
    <w:rsid w:val="003F5025"/>
    <w:rsid w:val="00433396"/>
    <w:rsid w:val="00446C3E"/>
    <w:rsid w:val="00451457"/>
    <w:rsid w:val="004B4C18"/>
    <w:rsid w:val="004C7822"/>
    <w:rsid w:val="004F7CFE"/>
    <w:rsid w:val="00535F4F"/>
    <w:rsid w:val="00545628"/>
    <w:rsid w:val="005530FA"/>
    <w:rsid w:val="005B7EBF"/>
    <w:rsid w:val="005E2CB4"/>
    <w:rsid w:val="00615290"/>
    <w:rsid w:val="006230DF"/>
    <w:rsid w:val="00626BE3"/>
    <w:rsid w:val="006F2F9F"/>
    <w:rsid w:val="006F6AAC"/>
    <w:rsid w:val="00706360"/>
    <w:rsid w:val="00711A9C"/>
    <w:rsid w:val="00776F49"/>
    <w:rsid w:val="00785A4B"/>
    <w:rsid w:val="007A1CB7"/>
    <w:rsid w:val="007A328C"/>
    <w:rsid w:val="007B5E01"/>
    <w:rsid w:val="007C5B03"/>
    <w:rsid w:val="007D5261"/>
    <w:rsid w:val="007E1C48"/>
    <w:rsid w:val="00806ABA"/>
    <w:rsid w:val="00825CB6"/>
    <w:rsid w:val="008316CA"/>
    <w:rsid w:val="009142A7"/>
    <w:rsid w:val="00930AF8"/>
    <w:rsid w:val="00950AFB"/>
    <w:rsid w:val="00986625"/>
    <w:rsid w:val="009B6965"/>
    <w:rsid w:val="009D6D11"/>
    <w:rsid w:val="009F59BD"/>
    <w:rsid w:val="00A05ECD"/>
    <w:rsid w:val="00A1345D"/>
    <w:rsid w:val="00A75358"/>
    <w:rsid w:val="00A75930"/>
    <w:rsid w:val="00A80EEE"/>
    <w:rsid w:val="00AA0C40"/>
    <w:rsid w:val="00AD0C21"/>
    <w:rsid w:val="00B02447"/>
    <w:rsid w:val="00B404AE"/>
    <w:rsid w:val="00B5393D"/>
    <w:rsid w:val="00B816EA"/>
    <w:rsid w:val="00BA0653"/>
    <w:rsid w:val="00BC0330"/>
    <w:rsid w:val="00C1435D"/>
    <w:rsid w:val="00C15BE6"/>
    <w:rsid w:val="00C33E50"/>
    <w:rsid w:val="00C4027E"/>
    <w:rsid w:val="00CE6252"/>
    <w:rsid w:val="00D04B26"/>
    <w:rsid w:val="00D55E6B"/>
    <w:rsid w:val="00D562E9"/>
    <w:rsid w:val="00DB1421"/>
    <w:rsid w:val="00DB7261"/>
    <w:rsid w:val="00DC63D0"/>
    <w:rsid w:val="00DE787B"/>
    <w:rsid w:val="00E85B29"/>
    <w:rsid w:val="00E96668"/>
    <w:rsid w:val="00ED2153"/>
    <w:rsid w:val="00ED2A0F"/>
    <w:rsid w:val="00EE6BB7"/>
    <w:rsid w:val="00F0309B"/>
    <w:rsid w:val="00F20323"/>
    <w:rsid w:val="00F24C18"/>
    <w:rsid w:val="00F415C1"/>
    <w:rsid w:val="00F602FE"/>
    <w:rsid w:val="00F767CB"/>
    <w:rsid w:val="00F91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06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0653"/>
    <w:pPr>
      <w:tabs>
        <w:tab w:val="center" w:pos="4320"/>
        <w:tab w:val="right" w:pos="8640"/>
      </w:tabs>
    </w:pPr>
  </w:style>
  <w:style w:type="character" w:customStyle="1" w:styleId="HeaderChar">
    <w:name w:val="Header Char"/>
    <w:basedOn w:val="DefaultParagraphFont"/>
    <w:link w:val="Header"/>
    <w:uiPriority w:val="99"/>
    <w:rsid w:val="00BA0653"/>
  </w:style>
  <w:style w:type="paragraph" w:styleId="Footer">
    <w:name w:val="footer"/>
    <w:basedOn w:val="Normal"/>
    <w:link w:val="FooterChar"/>
    <w:uiPriority w:val="99"/>
    <w:unhideWhenUsed/>
    <w:rsid w:val="00BA0653"/>
    <w:pPr>
      <w:tabs>
        <w:tab w:val="center" w:pos="4320"/>
        <w:tab w:val="right" w:pos="8640"/>
      </w:tabs>
    </w:pPr>
  </w:style>
  <w:style w:type="character" w:customStyle="1" w:styleId="FooterChar">
    <w:name w:val="Footer Char"/>
    <w:basedOn w:val="DefaultParagraphFont"/>
    <w:link w:val="Footer"/>
    <w:uiPriority w:val="99"/>
    <w:rsid w:val="00BA0653"/>
  </w:style>
  <w:style w:type="paragraph" w:styleId="BalloonText">
    <w:name w:val="Balloon Text"/>
    <w:basedOn w:val="Normal"/>
    <w:link w:val="BalloonTextChar"/>
    <w:uiPriority w:val="99"/>
    <w:semiHidden/>
    <w:unhideWhenUsed/>
    <w:rsid w:val="001406BF"/>
    <w:rPr>
      <w:rFonts w:ascii="Lucida Grande" w:hAnsi="Lucida Grande"/>
      <w:sz w:val="18"/>
      <w:szCs w:val="18"/>
    </w:rPr>
  </w:style>
  <w:style w:type="character" w:customStyle="1" w:styleId="BalloonTextChar">
    <w:name w:val="Balloon Text Char"/>
    <w:link w:val="BalloonText"/>
    <w:uiPriority w:val="99"/>
    <w:semiHidden/>
    <w:rsid w:val="001406BF"/>
    <w:rPr>
      <w:rFonts w:ascii="Lucida Grande" w:hAnsi="Lucida Grande" w:cs="Lucida Grande"/>
      <w:sz w:val="18"/>
      <w:szCs w:val="18"/>
    </w:rPr>
  </w:style>
  <w:style w:type="character" w:styleId="Hyperlink">
    <w:name w:val="Hyperlink"/>
    <w:basedOn w:val="DefaultParagraphFont"/>
    <w:uiPriority w:val="99"/>
    <w:unhideWhenUsed/>
    <w:rsid w:val="00034220"/>
    <w:rPr>
      <w:color w:val="0000FF"/>
      <w:u w:val="single"/>
    </w:rPr>
  </w:style>
  <w:style w:type="paragraph" w:styleId="ListParagraph">
    <w:name w:val="List Paragraph"/>
    <w:basedOn w:val="Normal"/>
    <w:uiPriority w:val="34"/>
    <w:qFormat/>
    <w:rsid w:val="007C5B03"/>
    <w:pPr>
      <w:overflowPunct w:val="0"/>
      <w:autoSpaceDE w:val="0"/>
      <w:autoSpaceDN w:val="0"/>
      <w:adjustRightInd w:val="0"/>
      <w:ind w:left="720"/>
      <w:contextualSpacing/>
      <w:textAlignment w:val="baseline"/>
    </w:pPr>
    <w:rPr>
      <w:rFonts w:ascii="Arial" w:eastAsia="Times New Roman" w:hAnsi="Arial"/>
      <w:szCs w:val="20"/>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ennifer.Schumann@slcgov.com" TargetMode="External"/><Relationship Id="rId3" Type="http://schemas.openxmlformats.org/officeDocument/2006/relationships/styles" Target="styles.xml"/><Relationship Id="rId7" Type="http://schemas.openxmlformats.org/officeDocument/2006/relationships/hyperlink" Target="http://www.slcgov.com/H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ncil.comments@slcgo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4325\Desktop\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3500-92B8-4E06-AA8E-E7368D7F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7</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Company>
  <LinksUpToDate>false</LinksUpToDate>
  <CharactersWithSpaces>2629</CharactersWithSpaces>
  <SharedDoc>false</SharedDoc>
  <HLinks>
    <vt:vector size="6" baseType="variant">
      <vt:variant>
        <vt:i4>3342363</vt:i4>
      </vt:variant>
      <vt:variant>
        <vt:i4>2048</vt:i4>
      </vt:variant>
      <vt:variant>
        <vt:i4>1025</vt:i4>
      </vt:variant>
      <vt:variant>
        <vt:i4>1</vt:i4>
      </vt:variant>
      <vt:variant>
        <vt:lpwstr>SLC_LOGO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Schumann</cp:lastModifiedBy>
  <cp:revision>8</cp:revision>
  <cp:lastPrinted>2014-02-21T19:26:00Z</cp:lastPrinted>
  <dcterms:created xsi:type="dcterms:W3CDTF">2016-02-05T18:52:00Z</dcterms:created>
  <dcterms:modified xsi:type="dcterms:W3CDTF">2016-02-25T19:15:00Z</dcterms:modified>
</cp:coreProperties>
</file>